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bookmarkStart w:id="0" w:name="_GoBack"/>
      <w:r w:rsidRPr="009A30A1">
        <w:rPr>
          <w:rFonts w:ascii="PT Astra Serif" w:eastAsia="Times New Roman" w:hAnsi="PT Astra Serif" w:cs="Times New Roman"/>
          <w:color w:val="000000"/>
          <w:sz w:val="24"/>
          <w:szCs w:val="24"/>
          <w:lang w:eastAsia="ru-RU"/>
        </w:rPr>
        <w:t>Конвенция вступила в силу 1 июля 2002 г.</w:t>
      </w:r>
      <w:r w:rsidRPr="009A30A1">
        <w:rPr>
          <w:rFonts w:ascii="PT Astra Serif" w:eastAsia="Times New Roman" w:hAnsi="PT Astra Serif" w:cs="Times New Roman"/>
          <w:color w:val="000000"/>
          <w:sz w:val="24"/>
          <w:szCs w:val="24"/>
          <w:lang w:eastAsia="ru-RU"/>
        </w:rPr>
        <w:br/>
        <w:t>Российская Федерация ратифицировала настоящую Конвенцию Федеральным законом от 25 июля 2006 г. N 125-ФЗ</w:t>
      </w:r>
    </w:p>
    <w:p w:rsidR="009A30A1" w:rsidRPr="009A30A1" w:rsidRDefault="009A30A1" w:rsidP="009A30A1">
      <w:pPr>
        <w:spacing w:after="0" w:line="240" w:lineRule="auto"/>
        <w:rPr>
          <w:rFonts w:ascii="PT Astra Serif" w:eastAsia="Times New Roman" w:hAnsi="PT Astra Serif" w:cs="Times New Roman"/>
          <w:sz w:val="24"/>
          <w:szCs w:val="24"/>
          <w:lang w:eastAsia="ru-RU"/>
        </w:rPr>
      </w:pPr>
      <w:r w:rsidRPr="009A30A1">
        <w:rPr>
          <w:rFonts w:ascii="PT Astra Serif" w:eastAsia="Times New Roman" w:hAnsi="PT Astra Serif" w:cs="Times New Roman"/>
          <w:color w:val="000000"/>
          <w:sz w:val="24"/>
          <w:szCs w:val="24"/>
          <w:shd w:val="clear" w:color="auto" w:fill="FFFFFF"/>
          <w:lang w:eastAsia="ru-RU"/>
        </w:rPr>
        <w:t>Конвенция вступила в силу для Российской Федерации 1 февраля 2007 г.</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Текст Конвенции опубликован в журнале "Совет Европы и Россия", 2002 г., N 2, в Собрании законодательства Российской Федерации от 18 мая 2009 г. N 20 ст. 2394, в Бюллетене международных договоров, сентябрь 2009 г., N 9</w:t>
      </w:r>
    </w:p>
    <w:p w:rsidR="009A30A1" w:rsidRPr="009A30A1" w:rsidRDefault="009A30A1" w:rsidP="009A30A1">
      <w:pPr>
        <w:spacing w:after="0" w:line="240" w:lineRule="auto"/>
        <w:rPr>
          <w:rFonts w:ascii="PT Astra Serif" w:eastAsia="Times New Roman" w:hAnsi="PT Astra Serif" w:cs="Times New Roman"/>
          <w:sz w:val="24"/>
          <w:szCs w:val="24"/>
          <w:lang w:eastAsia="ru-RU"/>
        </w:rPr>
      </w:pPr>
      <w:r w:rsidRPr="009A30A1">
        <w:rPr>
          <w:rFonts w:ascii="PT Astra Serif" w:eastAsia="Times New Roman" w:hAnsi="PT Astra Serif" w:cs="Times New Roman"/>
          <w:color w:val="000000"/>
          <w:sz w:val="24"/>
          <w:szCs w:val="24"/>
          <w:shd w:val="clear" w:color="auto" w:fill="FFFFFF"/>
          <w:lang w:eastAsia="ru-RU"/>
        </w:rPr>
        <w:t>ETS N 173</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15 мая 2003 г. в Страсбурге подписан Дополнительный протокол к настоящей Конвенции (ETS N 191). Российская Федерация в названном Протоколе не участвует</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Преамбула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Государства - члены Совета Европы и другие государства, подписавшие настоящую Конвенцию,</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считая, что цель Совета Европы заключается в достижении большего единства между его членами,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признавая важность укрепления сотрудничества с другими государствами, подписавшими настоящую Конвенцию,</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напоминая далее, что в резолюции N 1, принятой европейскими министрами юстиции на своей 21-й конференции (Прага, 1997 год),</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w:t>
      </w:r>
      <w:r w:rsidRPr="009A30A1">
        <w:rPr>
          <w:rFonts w:ascii="PT Astra Serif" w:eastAsia="Times New Roman" w:hAnsi="PT Astra Serif" w:cs="Times New Roman"/>
          <w:color w:val="000000"/>
          <w:sz w:val="24"/>
          <w:szCs w:val="24"/>
          <w:lang w:eastAsia="ru-RU"/>
        </w:rPr>
        <w:lastRenderedPageBreak/>
        <w:t>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учитывая, что главы государств и правительств Совета Европы в ходе второй встречи на высшем уровне, проходившей в Страсбурге 10-11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договорились о нижеследующем: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Глава I</w:t>
      </w:r>
      <w:r w:rsidRPr="009A30A1">
        <w:rPr>
          <w:rFonts w:ascii="PT Astra Serif" w:eastAsia="Times New Roman" w:hAnsi="PT Astra Serif" w:cs="Times New Roman"/>
          <w:color w:val="000000"/>
          <w:sz w:val="24"/>
          <w:szCs w:val="24"/>
          <w:lang w:eastAsia="ru-RU"/>
        </w:rPr>
        <w:br/>
        <w:t>Использование терминов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w:t>
      </w:r>
      <w:r w:rsidRPr="009A30A1">
        <w:rPr>
          <w:rFonts w:ascii="PT Astra Serif" w:eastAsia="Times New Roman" w:hAnsi="PT Astra Serif" w:cs="Times New Roman"/>
          <w:color w:val="000000"/>
          <w:sz w:val="24"/>
          <w:szCs w:val="24"/>
          <w:lang w:eastAsia="ru-RU"/>
        </w:rPr>
        <w:br/>
        <w:t>Использование терминов. Определения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Для целей настоящей Конвенции: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понятие "публичное должностное лицо" охватывает определения "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термин "судья", упомянутый в подпункте "а" выше, включает прокуроров и лиц, занимающих судебные должности;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c) в случае разбирательства, касающегося какого-либо публичного должностного лица другого государства, государство, осуществляющее преследование,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lastRenderedPageBreak/>
        <w:t>Глава II</w:t>
      </w:r>
      <w:r w:rsidRPr="009A30A1">
        <w:rPr>
          <w:rFonts w:ascii="PT Astra Serif" w:eastAsia="Times New Roman" w:hAnsi="PT Astra Serif" w:cs="Times New Roman"/>
          <w:color w:val="000000"/>
          <w:sz w:val="24"/>
          <w:szCs w:val="24"/>
          <w:lang w:eastAsia="ru-RU"/>
        </w:rPr>
        <w:br/>
        <w:t>Меры, которые должны быть приняты на национальном уровне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w:t>
      </w:r>
      <w:r w:rsidRPr="009A30A1">
        <w:rPr>
          <w:rFonts w:ascii="PT Astra Serif" w:eastAsia="Times New Roman" w:hAnsi="PT Astra Serif" w:cs="Times New Roman"/>
          <w:color w:val="000000"/>
          <w:sz w:val="24"/>
          <w:szCs w:val="24"/>
          <w:lang w:eastAsia="ru-RU"/>
        </w:rPr>
        <w:br/>
        <w:t>Активный подкуп национальных публичных должностных лиц</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w:t>
      </w:r>
      <w:r w:rsidRPr="009A30A1">
        <w:rPr>
          <w:rFonts w:ascii="PT Astra Serif" w:eastAsia="Times New Roman" w:hAnsi="PT Astra Serif" w:cs="Times New Roman"/>
          <w:color w:val="000000"/>
          <w:sz w:val="24"/>
          <w:szCs w:val="24"/>
          <w:lang w:eastAsia="ru-RU"/>
        </w:rPr>
        <w:br/>
        <w:t>Пассивный подкуп национальных публичных должностных лиц</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4</w:t>
      </w:r>
      <w:r w:rsidRPr="009A30A1">
        <w:rPr>
          <w:rFonts w:ascii="PT Astra Serif" w:eastAsia="Times New Roman" w:hAnsi="PT Astra Serif" w:cs="Times New Roman"/>
          <w:color w:val="000000"/>
          <w:sz w:val="24"/>
          <w:szCs w:val="24"/>
          <w:lang w:eastAsia="ru-RU"/>
        </w:rPr>
        <w:br/>
        <w:t>Подкуп членов национальных публичных собраний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5</w:t>
      </w:r>
      <w:r w:rsidRPr="009A30A1">
        <w:rPr>
          <w:rFonts w:ascii="PT Astra Serif" w:eastAsia="Times New Roman" w:hAnsi="PT Astra Serif" w:cs="Times New Roman"/>
          <w:color w:val="000000"/>
          <w:sz w:val="24"/>
          <w:szCs w:val="24"/>
          <w:lang w:eastAsia="ru-RU"/>
        </w:rPr>
        <w:br/>
        <w:t>Подкуп иностранных публичных должностных лиц</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публичного должностного лица какого-либо другого государства.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6</w:t>
      </w:r>
      <w:r w:rsidRPr="009A30A1">
        <w:rPr>
          <w:rFonts w:ascii="PT Astra Serif" w:eastAsia="Times New Roman" w:hAnsi="PT Astra Serif" w:cs="Times New Roman"/>
          <w:color w:val="000000"/>
          <w:sz w:val="24"/>
          <w:szCs w:val="24"/>
          <w:lang w:eastAsia="ru-RU"/>
        </w:rPr>
        <w:br/>
        <w:t>Подкуп членов иностранных публичных собраний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7</w:t>
      </w:r>
      <w:r w:rsidRPr="009A30A1">
        <w:rPr>
          <w:rFonts w:ascii="PT Astra Serif" w:eastAsia="Times New Roman" w:hAnsi="PT Astra Serif" w:cs="Times New Roman"/>
          <w:color w:val="000000"/>
          <w:sz w:val="24"/>
          <w:szCs w:val="24"/>
          <w:lang w:eastAsia="ru-RU"/>
        </w:rPr>
        <w:br/>
        <w:t>Активный подкуп в частном секторе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8</w:t>
      </w:r>
      <w:r w:rsidRPr="009A30A1">
        <w:rPr>
          <w:rFonts w:ascii="PT Astra Serif" w:eastAsia="Times New Roman" w:hAnsi="PT Astra Serif" w:cs="Times New Roman"/>
          <w:color w:val="000000"/>
          <w:sz w:val="24"/>
          <w:szCs w:val="24"/>
          <w:lang w:eastAsia="ru-RU"/>
        </w:rPr>
        <w:br/>
        <w:t>Пассивный подкуп в частном секторе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9</w:t>
      </w:r>
      <w:r w:rsidRPr="009A30A1">
        <w:rPr>
          <w:rFonts w:ascii="PT Astra Serif" w:eastAsia="Times New Roman" w:hAnsi="PT Astra Serif" w:cs="Times New Roman"/>
          <w:color w:val="000000"/>
          <w:sz w:val="24"/>
          <w:szCs w:val="24"/>
          <w:lang w:eastAsia="ru-RU"/>
        </w:rPr>
        <w:br/>
        <w:t>Подкуп должностных лиц международных организаций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10</w:t>
      </w:r>
      <w:r w:rsidRPr="009A30A1">
        <w:rPr>
          <w:rFonts w:ascii="PT Astra Serif" w:eastAsia="Times New Roman" w:hAnsi="PT Astra Serif" w:cs="Times New Roman"/>
          <w:color w:val="000000"/>
          <w:sz w:val="24"/>
          <w:szCs w:val="24"/>
          <w:lang w:eastAsia="ru-RU"/>
        </w:rPr>
        <w:br/>
        <w:t>Подкуп членов международных парламентских собраний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w:t>
      </w:r>
      <w:r w:rsidRPr="009A30A1">
        <w:rPr>
          <w:rFonts w:ascii="PT Astra Serif" w:eastAsia="Times New Roman" w:hAnsi="PT Astra Serif" w:cs="Times New Roman"/>
          <w:color w:val="000000"/>
          <w:sz w:val="24"/>
          <w:szCs w:val="24"/>
          <w:lang w:eastAsia="ru-RU"/>
        </w:rPr>
        <w:lastRenderedPageBreak/>
        <w:t>соответствии с ее внутренним правом деяния, о которых говорится в статье 4,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11</w:t>
      </w:r>
      <w:r w:rsidRPr="009A30A1">
        <w:rPr>
          <w:rFonts w:ascii="PT Astra Serif" w:eastAsia="Times New Roman" w:hAnsi="PT Astra Serif" w:cs="Times New Roman"/>
          <w:color w:val="000000"/>
          <w:sz w:val="24"/>
          <w:szCs w:val="24"/>
          <w:lang w:eastAsia="ru-RU"/>
        </w:rPr>
        <w:br/>
        <w:t>Подкуп судей и должностных лиц международных судов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12</w:t>
      </w:r>
      <w:r w:rsidRPr="009A30A1">
        <w:rPr>
          <w:rFonts w:ascii="PT Astra Serif" w:eastAsia="Times New Roman" w:hAnsi="PT Astra Serif" w:cs="Times New Roman"/>
          <w:color w:val="000000"/>
          <w:sz w:val="24"/>
          <w:szCs w:val="24"/>
          <w:lang w:eastAsia="ru-RU"/>
        </w:rPr>
        <w:br/>
        <w:t>Злоупотребление влиянием в корыстных целях</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статьях 2, 4-6 и 9-11,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13</w:t>
      </w:r>
      <w:r w:rsidRPr="009A30A1">
        <w:rPr>
          <w:rFonts w:ascii="PT Astra Serif" w:eastAsia="Times New Roman" w:hAnsi="PT Astra Serif" w:cs="Times New Roman"/>
          <w:color w:val="000000"/>
          <w:sz w:val="24"/>
          <w:szCs w:val="24"/>
          <w:lang w:eastAsia="ru-RU"/>
        </w:rPr>
        <w:br/>
        <w:t>Отмывание доходов от преступлений, связанных с коррупцией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статьями 2 - 12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14</w:t>
      </w:r>
      <w:r w:rsidRPr="009A30A1">
        <w:rPr>
          <w:rFonts w:ascii="PT Astra Serif" w:eastAsia="Times New Roman" w:hAnsi="PT Astra Serif" w:cs="Times New Roman"/>
          <w:color w:val="000000"/>
          <w:sz w:val="24"/>
          <w:szCs w:val="24"/>
          <w:lang w:eastAsia="ru-RU"/>
        </w:rPr>
        <w:br/>
        <w:t>Правонарушения в сфере бухгалтерского учета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w:t>
      </w:r>
      <w:r w:rsidRPr="009A30A1">
        <w:rPr>
          <w:rFonts w:ascii="PT Astra Serif" w:eastAsia="Times New Roman" w:hAnsi="PT Astra Serif" w:cs="Times New Roman"/>
          <w:color w:val="000000"/>
          <w:sz w:val="24"/>
          <w:szCs w:val="24"/>
          <w:lang w:eastAsia="ru-RU"/>
        </w:rPr>
        <w:lastRenderedPageBreak/>
        <w:t>представления в ложном свете правонарушений, о которых говорится в статьях 2 - 12, если только Сторона не сделала соответствующую оговорку или заявление: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противоправное невнесение в бухгалтерские книги сведений о платежных операциях.</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15</w:t>
      </w:r>
      <w:r w:rsidRPr="009A30A1">
        <w:rPr>
          <w:rFonts w:ascii="PT Astra Serif" w:eastAsia="Times New Roman" w:hAnsi="PT Astra Serif" w:cs="Times New Roman"/>
          <w:color w:val="000000"/>
          <w:sz w:val="24"/>
          <w:szCs w:val="24"/>
          <w:lang w:eastAsia="ru-RU"/>
        </w:rPr>
        <w:br/>
        <w:t>Соучастие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16</w:t>
      </w:r>
      <w:r w:rsidRPr="009A30A1">
        <w:rPr>
          <w:rFonts w:ascii="PT Astra Serif" w:eastAsia="Times New Roman" w:hAnsi="PT Astra Serif" w:cs="Times New Roman"/>
          <w:color w:val="000000"/>
          <w:sz w:val="24"/>
          <w:szCs w:val="24"/>
          <w:lang w:eastAsia="ru-RU"/>
        </w:rPr>
        <w:br/>
        <w:t>Иммунитет</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17</w:t>
      </w:r>
      <w:r w:rsidRPr="009A30A1">
        <w:rPr>
          <w:rFonts w:ascii="PT Astra Serif" w:eastAsia="Times New Roman" w:hAnsi="PT Astra Serif" w:cs="Times New Roman"/>
          <w:color w:val="000000"/>
          <w:sz w:val="24"/>
          <w:szCs w:val="24"/>
          <w:lang w:eastAsia="ru-RU"/>
        </w:rPr>
        <w:br/>
        <w:t>Юрисдикция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статьями 2 - 14 настоящей Конвенции, в случаях, когда: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преступление совершено полностью или частично на ее территории;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c) в правонарушении замешано одно из ее публичных должностных лиц или членов ее национальных публичных собраний или любое лицо, упомянутое в статьях 9 - 11, которое при этом является одним из ее граждан.</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b) и с) пункта 1 настоящей статьи или любой ее части.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18</w:t>
      </w:r>
      <w:r w:rsidRPr="009A30A1">
        <w:rPr>
          <w:rFonts w:ascii="PT Astra Serif" w:eastAsia="Times New Roman" w:hAnsi="PT Astra Serif" w:cs="Times New Roman"/>
          <w:color w:val="000000"/>
          <w:sz w:val="24"/>
          <w:szCs w:val="24"/>
          <w:lang w:eastAsia="ru-RU"/>
        </w:rPr>
        <w:br/>
        <w:t>Ответственность юридических лиц</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выполнения представительских функций от имени юридического лица; или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осуществления права на принятие решений от имени юридического лица; или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осуществления контрольных функций в рамках юридического лица;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а также в связи с участием такого физического лица в вышеупомянутых правонарушениях в качестве соучастника или подстрекателя.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19</w:t>
      </w:r>
      <w:r w:rsidRPr="009A30A1">
        <w:rPr>
          <w:rFonts w:ascii="PT Astra Serif" w:eastAsia="Times New Roman" w:hAnsi="PT Astra Serif" w:cs="Times New Roman"/>
          <w:color w:val="000000"/>
          <w:sz w:val="24"/>
          <w:szCs w:val="24"/>
          <w:lang w:eastAsia="ru-RU"/>
        </w:rPr>
        <w:br/>
        <w:t>Санкции и меры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статьями 2-14,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неуголовные санкции, в том числе финансового характера.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w:t>
      </w:r>
      <w:r w:rsidRPr="009A30A1">
        <w:rPr>
          <w:rFonts w:ascii="PT Astra Serif" w:eastAsia="Times New Roman" w:hAnsi="PT Astra Serif" w:cs="Times New Roman"/>
          <w:color w:val="000000"/>
          <w:sz w:val="24"/>
          <w:szCs w:val="24"/>
          <w:lang w:eastAsia="ru-RU"/>
        </w:rPr>
        <w:lastRenderedPageBreak/>
        <w:t>качестве таковых в соответствии с настоящей Конвенцией, или имущество, стоимость которого эквивалентна таким доходам.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20</w:t>
      </w:r>
      <w:r w:rsidRPr="009A30A1">
        <w:rPr>
          <w:rFonts w:ascii="PT Astra Serif" w:eastAsia="Times New Roman" w:hAnsi="PT Astra Serif" w:cs="Times New Roman"/>
          <w:color w:val="000000"/>
          <w:sz w:val="24"/>
          <w:szCs w:val="24"/>
          <w:lang w:eastAsia="ru-RU"/>
        </w:rPr>
        <w:br/>
        <w:t>Специальные полномочия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21</w:t>
      </w:r>
      <w:r w:rsidRPr="009A30A1">
        <w:rPr>
          <w:rFonts w:ascii="PT Astra Serif" w:eastAsia="Times New Roman" w:hAnsi="PT Astra Serif" w:cs="Times New Roman"/>
          <w:color w:val="000000"/>
          <w:sz w:val="24"/>
          <w:szCs w:val="24"/>
          <w:lang w:eastAsia="ru-RU"/>
        </w:rPr>
        <w:br/>
        <w:t>Сотрудничество с национальными органами и между ними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статьями 2 - 14; или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путем предоставления этим органам по их просьбе всей необходимой информации.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22</w:t>
      </w:r>
      <w:r w:rsidRPr="009A30A1">
        <w:rPr>
          <w:rFonts w:ascii="PT Astra Serif" w:eastAsia="Times New Roman" w:hAnsi="PT Astra Serif" w:cs="Times New Roman"/>
          <w:color w:val="000000"/>
          <w:sz w:val="24"/>
          <w:szCs w:val="24"/>
          <w:lang w:eastAsia="ru-RU"/>
        </w:rPr>
        <w:br/>
        <w:t>Защита лиц, сотрудничающих с правосудием, и свидетелей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Каждая Сторона принимает такие меры, которые могут потребоваться для обеспечения эффективной и надлежащей защиты: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тех, кто сообщает об уголовных правонарушениях, признанных в качестве таковых в соответствии со статьями 2 - 14 или иным образом сотрудничает с органами, осуществляющими расследование и разбирательство;</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свидетелей, дающих показания, касающиеся этих правонарушений.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23</w:t>
      </w:r>
      <w:r w:rsidRPr="009A30A1">
        <w:rPr>
          <w:rFonts w:ascii="PT Astra Serif" w:eastAsia="Times New Roman" w:hAnsi="PT Astra Serif" w:cs="Times New Roman"/>
          <w:color w:val="000000"/>
          <w:sz w:val="24"/>
          <w:szCs w:val="24"/>
          <w:lang w:eastAsia="ru-RU"/>
        </w:rPr>
        <w:br/>
        <w:t>Меры по содействию сбору доказательств и конфискации доходов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w:t>
      </w:r>
      <w:r w:rsidRPr="009A30A1">
        <w:rPr>
          <w:rFonts w:ascii="PT Astra Serif" w:eastAsia="Times New Roman" w:hAnsi="PT Astra Serif" w:cs="Times New Roman"/>
          <w:color w:val="000000"/>
          <w:sz w:val="24"/>
          <w:szCs w:val="24"/>
          <w:lang w:eastAsia="ru-RU"/>
        </w:rPr>
        <w:lastRenderedPageBreak/>
        <w:t>отношении которых могут быть применены меры, установленные в соответствии с пунктом 3 статьи 19 настоящей Конвенции.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Банковская тайна не является препятствием для осуществления мер, предусмотренных пунктами 1 и 2 настоящей статьи.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Глава III</w:t>
      </w:r>
      <w:r w:rsidRPr="009A30A1">
        <w:rPr>
          <w:rFonts w:ascii="PT Astra Serif" w:eastAsia="Times New Roman" w:hAnsi="PT Astra Serif" w:cs="Times New Roman"/>
          <w:color w:val="000000"/>
          <w:sz w:val="24"/>
          <w:szCs w:val="24"/>
          <w:lang w:eastAsia="ru-RU"/>
        </w:rPr>
        <w:br/>
        <w:t>Мониторинг выполнения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24</w:t>
      </w:r>
      <w:r w:rsidRPr="009A30A1">
        <w:rPr>
          <w:rFonts w:ascii="PT Astra Serif" w:eastAsia="Times New Roman" w:hAnsi="PT Astra Serif" w:cs="Times New Roman"/>
          <w:color w:val="000000"/>
          <w:sz w:val="24"/>
          <w:szCs w:val="24"/>
          <w:lang w:eastAsia="ru-RU"/>
        </w:rPr>
        <w:br/>
        <w:t>Мониторинг</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Мониторинг выполнения Договаривающимися Сторонами настоящей Конвенции осуществляется Группой государств против коррупции (ГРЕКО).</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Глава IV</w:t>
      </w:r>
      <w:r w:rsidRPr="009A30A1">
        <w:rPr>
          <w:rFonts w:ascii="PT Astra Serif" w:eastAsia="Times New Roman" w:hAnsi="PT Astra Serif" w:cs="Times New Roman"/>
          <w:color w:val="000000"/>
          <w:sz w:val="24"/>
          <w:szCs w:val="24"/>
          <w:lang w:eastAsia="ru-RU"/>
        </w:rPr>
        <w:br/>
        <w:t>Международное сотрудничество</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25</w:t>
      </w:r>
      <w:r w:rsidRPr="009A30A1">
        <w:rPr>
          <w:rFonts w:ascii="PT Astra Serif" w:eastAsia="Times New Roman" w:hAnsi="PT Astra Serif" w:cs="Times New Roman"/>
          <w:color w:val="000000"/>
          <w:sz w:val="24"/>
          <w:szCs w:val="24"/>
          <w:lang w:eastAsia="ru-RU"/>
        </w:rPr>
        <w:br/>
        <w:t>Общие принципы и меры в области международного сотрудничества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настоящей главы.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26</w:t>
      </w:r>
      <w:r w:rsidRPr="009A30A1">
        <w:rPr>
          <w:rFonts w:ascii="PT Astra Serif" w:eastAsia="Times New Roman" w:hAnsi="PT Astra Serif" w:cs="Times New Roman"/>
          <w:color w:val="000000"/>
          <w:sz w:val="24"/>
          <w:szCs w:val="24"/>
          <w:lang w:eastAsia="ru-RU"/>
        </w:rPr>
        <w:br/>
        <w:t>Взаимная помощь</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w:t>
      </w:r>
      <w:r w:rsidRPr="009A30A1">
        <w:rPr>
          <w:rFonts w:ascii="PT Astra Serif" w:eastAsia="Times New Roman" w:hAnsi="PT Astra Serif" w:cs="Times New Roman"/>
          <w:color w:val="000000"/>
          <w:sz w:val="24"/>
          <w:szCs w:val="24"/>
          <w:lang w:eastAsia="ru-RU"/>
        </w:rPr>
        <w:lastRenderedPageBreak/>
        <w:t>разбирательство по уголовным делам в связи с правонарушениями, признанными в качестве таковых в соответствии с настоящей Конвенцией.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27</w:t>
      </w:r>
      <w:r w:rsidRPr="009A30A1">
        <w:rPr>
          <w:rFonts w:ascii="PT Astra Serif" w:eastAsia="Times New Roman" w:hAnsi="PT Astra Serif" w:cs="Times New Roman"/>
          <w:color w:val="000000"/>
          <w:sz w:val="24"/>
          <w:szCs w:val="24"/>
          <w:lang w:eastAsia="ru-RU"/>
        </w:rPr>
        <w:br/>
        <w:t>Выдача</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28</w:t>
      </w:r>
      <w:r w:rsidRPr="009A30A1">
        <w:rPr>
          <w:rFonts w:ascii="PT Astra Serif" w:eastAsia="Times New Roman" w:hAnsi="PT Astra Serif" w:cs="Times New Roman"/>
          <w:color w:val="000000"/>
          <w:sz w:val="24"/>
          <w:szCs w:val="24"/>
          <w:lang w:eastAsia="ru-RU"/>
        </w:rPr>
        <w:br/>
        <w:t>Информация, предоставляемая по собственной инициативе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w:t>
      </w:r>
      <w:r w:rsidRPr="009A30A1">
        <w:rPr>
          <w:rFonts w:ascii="PT Astra Serif" w:eastAsia="Times New Roman" w:hAnsi="PT Astra Serif" w:cs="Times New Roman"/>
          <w:color w:val="000000"/>
          <w:sz w:val="24"/>
          <w:szCs w:val="24"/>
          <w:lang w:eastAsia="ru-RU"/>
        </w:rPr>
        <w:lastRenderedPageBreak/>
        <w:t>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29</w:t>
      </w:r>
      <w:r w:rsidRPr="009A30A1">
        <w:rPr>
          <w:rFonts w:ascii="PT Astra Serif" w:eastAsia="Times New Roman" w:hAnsi="PT Astra Serif" w:cs="Times New Roman"/>
          <w:color w:val="000000"/>
          <w:sz w:val="24"/>
          <w:szCs w:val="24"/>
          <w:lang w:eastAsia="ru-RU"/>
        </w:rPr>
        <w:br/>
        <w:t>Центральный орган</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30</w:t>
      </w:r>
      <w:r w:rsidRPr="009A30A1">
        <w:rPr>
          <w:rFonts w:ascii="PT Astra Serif" w:eastAsia="Times New Roman" w:hAnsi="PT Astra Serif" w:cs="Times New Roman"/>
          <w:color w:val="000000"/>
          <w:sz w:val="24"/>
          <w:szCs w:val="24"/>
          <w:lang w:eastAsia="ru-RU"/>
        </w:rPr>
        <w:br/>
        <w:t>Непосредственные сношения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Центральные органы осуществляют непосредственные сношения друг с другом.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Запросы или сообщения в соответствии с пунктами 1 и 2 настоящей статьи могут быть направлены через Международную организацию уголовной полиции (Интерпол).</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национального органу и непосредственно информирует об этом запрашивающую Сторону.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5. Запросы или сообщения, представляемые в соответствии с пунктом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31</w:t>
      </w:r>
      <w:r w:rsidRPr="009A30A1">
        <w:rPr>
          <w:rFonts w:ascii="PT Astra Serif" w:eastAsia="Times New Roman" w:hAnsi="PT Astra Serif" w:cs="Times New Roman"/>
          <w:color w:val="000000"/>
          <w:sz w:val="24"/>
          <w:szCs w:val="24"/>
          <w:lang w:eastAsia="ru-RU"/>
        </w:rPr>
        <w:br/>
        <w:t>Информация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w:t>
      </w:r>
      <w:r w:rsidRPr="009A30A1">
        <w:rPr>
          <w:rFonts w:ascii="PT Astra Serif" w:eastAsia="Times New Roman" w:hAnsi="PT Astra Serif" w:cs="Times New Roman"/>
          <w:color w:val="000000"/>
          <w:sz w:val="24"/>
          <w:szCs w:val="24"/>
          <w:lang w:eastAsia="ru-RU"/>
        </w:rPr>
        <w:lastRenderedPageBreak/>
        <w:t>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Глава V</w:t>
      </w:r>
      <w:r w:rsidRPr="009A30A1">
        <w:rPr>
          <w:rFonts w:ascii="PT Astra Serif" w:eastAsia="Times New Roman" w:hAnsi="PT Astra Serif" w:cs="Times New Roman"/>
          <w:color w:val="000000"/>
          <w:sz w:val="24"/>
          <w:szCs w:val="24"/>
          <w:lang w:eastAsia="ru-RU"/>
        </w:rPr>
        <w:br/>
        <w:t>Заключительные положения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32</w:t>
      </w:r>
      <w:r w:rsidRPr="009A30A1">
        <w:rPr>
          <w:rFonts w:ascii="PT Astra Serif" w:eastAsia="Times New Roman" w:hAnsi="PT Astra Serif" w:cs="Times New Roman"/>
          <w:color w:val="000000"/>
          <w:sz w:val="24"/>
          <w:szCs w:val="24"/>
          <w:lang w:eastAsia="ru-RU"/>
        </w:rPr>
        <w:br/>
        <w:t>Подписание и вступление в силу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подписания без оговорки относительно ратификации, принятия или одобрения; или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ратификации, принятия или одобрения после подписания при условии ратификации, принятия или одобрения.</w:t>
      </w:r>
    </w:p>
    <w:p w:rsidR="009A30A1" w:rsidRPr="009A30A1" w:rsidRDefault="009A30A1" w:rsidP="009A30A1">
      <w:pPr>
        <w:spacing w:after="0" w:line="240" w:lineRule="auto"/>
        <w:rPr>
          <w:rFonts w:ascii="PT Astra Serif" w:eastAsia="Times New Roman" w:hAnsi="PT Astra Serif" w:cs="Times New Roman"/>
          <w:sz w:val="24"/>
          <w:szCs w:val="24"/>
          <w:lang w:eastAsia="ru-RU"/>
        </w:rPr>
      </w:pPr>
      <w:r w:rsidRPr="009A30A1">
        <w:rPr>
          <w:rFonts w:ascii="PT Astra Serif" w:eastAsia="Times New Roman" w:hAnsi="PT Astra Serif" w:cs="Times New Roman"/>
          <w:color w:val="000000"/>
          <w:sz w:val="24"/>
          <w:szCs w:val="24"/>
          <w:shd w:val="clear" w:color="auto" w:fill="FFFFFF"/>
          <w:lang w:eastAsia="ru-RU"/>
        </w:rPr>
        <w:t>2. Ратификационные грамоты, документы о принятии или одобрении сдаются на хранение Генеральному секретарю Совета Европы.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пункта 1.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pacing w:after="0" w:line="240" w:lineRule="auto"/>
        <w:rPr>
          <w:rFonts w:ascii="PT Astra Serif" w:eastAsia="Times New Roman" w:hAnsi="PT Astra Serif" w:cs="Times New Roman"/>
          <w:sz w:val="24"/>
          <w:szCs w:val="24"/>
          <w:lang w:eastAsia="ru-RU"/>
        </w:rPr>
      </w:pPr>
      <w:r w:rsidRPr="009A30A1">
        <w:rPr>
          <w:rFonts w:ascii="PT Astra Serif" w:eastAsia="Times New Roman" w:hAnsi="PT Astra Serif" w:cs="Times New Roman"/>
          <w:color w:val="000000"/>
          <w:sz w:val="24"/>
          <w:szCs w:val="24"/>
          <w:shd w:val="clear" w:color="auto" w:fill="FFFFFF"/>
          <w:lang w:eastAsia="ru-RU"/>
        </w:rPr>
        <w:t>Конвенция вступила в силу для Российской Федерации 1 февраля 2007 г.</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пункта 1.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33</w:t>
      </w:r>
      <w:r w:rsidRPr="009A30A1">
        <w:rPr>
          <w:rFonts w:ascii="PT Astra Serif" w:eastAsia="Times New Roman" w:hAnsi="PT Astra Serif" w:cs="Times New Roman"/>
          <w:color w:val="000000"/>
          <w:sz w:val="24"/>
          <w:szCs w:val="24"/>
          <w:lang w:eastAsia="ru-RU"/>
        </w:rPr>
        <w:br/>
        <w:t>Присоединение к Конвенции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lastRenderedPageBreak/>
        <w:t>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34</w:t>
      </w:r>
      <w:r w:rsidRPr="009A30A1">
        <w:rPr>
          <w:rFonts w:ascii="PT Astra Serif" w:eastAsia="Times New Roman" w:hAnsi="PT Astra Serif" w:cs="Times New Roman"/>
          <w:color w:val="000000"/>
          <w:sz w:val="24"/>
          <w:szCs w:val="24"/>
          <w:lang w:eastAsia="ru-RU"/>
        </w:rPr>
        <w:br/>
        <w:t>Территориальное применение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35</w:t>
      </w:r>
      <w:r w:rsidRPr="009A30A1">
        <w:rPr>
          <w:rFonts w:ascii="PT Astra Serif" w:eastAsia="Times New Roman" w:hAnsi="PT Astra Serif" w:cs="Times New Roman"/>
          <w:color w:val="000000"/>
          <w:sz w:val="24"/>
          <w:szCs w:val="24"/>
          <w:lang w:eastAsia="ru-RU"/>
        </w:rPr>
        <w:br/>
        <w:t>Связь с другими конвенциями и соглашениями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36</w:t>
      </w:r>
      <w:r w:rsidRPr="009A30A1">
        <w:rPr>
          <w:rFonts w:ascii="PT Astra Serif" w:eastAsia="Times New Roman" w:hAnsi="PT Astra Serif" w:cs="Times New Roman"/>
          <w:color w:val="000000"/>
          <w:sz w:val="24"/>
          <w:szCs w:val="24"/>
          <w:lang w:eastAsia="ru-RU"/>
        </w:rPr>
        <w:br/>
        <w:t>Заявления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статьей 5, должностных лиц международных организаций согласно статье 9 или судей и должностных лиц международных судов в соответствии со статьей 11 лишь в той степени, в какой публичное </w:t>
      </w:r>
      <w:r w:rsidRPr="009A30A1">
        <w:rPr>
          <w:rFonts w:ascii="PT Astra Serif" w:eastAsia="Times New Roman" w:hAnsi="PT Astra Serif" w:cs="Times New Roman"/>
          <w:color w:val="000000"/>
          <w:sz w:val="24"/>
          <w:szCs w:val="24"/>
          <w:lang w:eastAsia="ru-RU"/>
        </w:rPr>
        <w:lastRenderedPageBreak/>
        <w:t>должностное лицо или судья действует или воздерживается от действий в нарушение своих обязанностей.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37</w:t>
      </w:r>
      <w:r w:rsidRPr="009A30A1">
        <w:rPr>
          <w:rFonts w:ascii="PT Astra Serif" w:eastAsia="Times New Roman" w:hAnsi="PT Astra Serif" w:cs="Times New Roman"/>
          <w:color w:val="000000"/>
          <w:sz w:val="24"/>
          <w:szCs w:val="24"/>
          <w:lang w:eastAsia="ru-RU"/>
        </w:rPr>
        <w:br/>
        <w:t>Оговорки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6 - 8, 10 и 12, или правонарушения, связанные с пассивным подкупом, определенные в статье 5.</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4. По смыслу применения пунктов 1, 2 и 3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38</w:t>
      </w:r>
      <w:r w:rsidRPr="009A30A1">
        <w:rPr>
          <w:rFonts w:ascii="PT Astra Serif" w:eastAsia="Times New Roman" w:hAnsi="PT Astra Serif" w:cs="Times New Roman"/>
          <w:color w:val="000000"/>
          <w:sz w:val="24"/>
          <w:szCs w:val="24"/>
          <w:lang w:eastAsia="ru-RU"/>
        </w:rPr>
        <w:br/>
        <w:t>Юридическая сила и пересмотр заявлений и оговорок</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39</w:t>
      </w:r>
      <w:r w:rsidRPr="009A30A1">
        <w:rPr>
          <w:rFonts w:ascii="PT Astra Serif" w:eastAsia="Times New Roman" w:hAnsi="PT Astra Serif" w:cs="Times New Roman"/>
          <w:color w:val="000000"/>
          <w:sz w:val="24"/>
          <w:szCs w:val="24"/>
          <w:lang w:eastAsia="ru-RU"/>
        </w:rPr>
        <w:br/>
        <w:t>Поправки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lastRenderedPageBreak/>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40</w:t>
      </w:r>
      <w:r w:rsidRPr="009A30A1">
        <w:rPr>
          <w:rFonts w:ascii="PT Astra Serif" w:eastAsia="Times New Roman" w:hAnsi="PT Astra Serif" w:cs="Times New Roman"/>
          <w:color w:val="000000"/>
          <w:sz w:val="24"/>
          <w:szCs w:val="24"/>
          <w:lang w:eastAsia="ru-RU"/>
        </w:rPr>
        <w:br/>
        <w:t>Урегулирование споров</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41</w:t>
      </w:r>
      <w:r w:rsidRPr="009A30A1">
        <w:rPr>
          <w:rFonts w:ascii="PT Astra Serif" w:eastAsia="Times New Roman" w:hAnsi="PT Astra Serif" w:cs="Times New Roman"/>
          <w:color w:val="000000"/>
          <w:sz w:val="24"/>
          <w:szCs w:val="24"/>
          <w:lang w:eastAsia="ru-RU"/>
        </w:rPr>
        <w:br/>
        <w:t>Денонсация</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Статья 42</w:t>
      </w:r>
      <w:r w:rsidRPr="009A30A1">
        <w:rPr>
          <w:rFonts w:ascii="PT Astra Serif" w:eastAsia="Times New Roman" w:hAnsi="PT Astra Serif" w:cs="Times New Roman"/>
          <w:color w:val="000000"/>
          <w:sz w:val="24"/>
          <w:szCs w:val="24"/>
          <w:lang w:eastAsia="ru-RU"/>
        </w:rPr>
        <w:br/>
        <w:t>Уведомление</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Генеральный секретарь Совета Европы уведомляет государства - члены Совета и любое государство, которое присоединилось к Конвенции, о:</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a) любом подписании: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b) сдаче на хранение любой ратификационной грамоты, документа о принятии, одобрении или присоединении;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lastRenderedPageBreak/>
        <w:t>c) любой дате вступления в силу настоящей Конвенции в соответствии со статьями 32 и 33;</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d) любом заявлении или оговорке, сделанными в соответствии со статьей 36 или 37;</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e) любом ином действии, уведомлении или сообщении, относящихся к настоящей Конвенции.</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 </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В удостоверение чего нижеподписавшиеся, должным образом на то уполномоченные, подписали настоящую Конвенцию.</w:t>
      </w:r>
    </w:p>
    <w:p w:rsidR="009A30A1" w:rsidRPr="009A30A1" w:rsidRDefault="009A30A1" w:rsidP="009A30A1">
      <w:pPr>
        <w:shd w:val="clear" w:color="auto" w:fill="FFFFFF"/>
        <w:spacing w:after="150" w:line="240" w:lineRule="auto"/>
        <w:jc w:val="both"/>
        <w:textAlignment w:val="baseline"/>
        <w:rPr>
          <w:rFonts w:ascii="PT Astra Serif" w:eastAsia="Times New Roman" w:hAnsi="PT Astra Serif" w:cs="Times New Roman"/>
          <w:color w:val="000000"/>
          <w:sz w:val="24"/>
          <w:szCs w:val="24"/>
          <w:lang w:eastAsia="ru-RU"/>
        </w:rPr>
      </w:pPr>
      <w:r w:rsidRPr="009A30A1">
        <w:rPr>
          <w:rFonts w:ascii="PT Astra Serif" w:eastAsia="Times New Roman" w:hAnsi="PT Astra Serif" w:cs="Times New Roman"/>
          <w:color w:val="000000"/>
          <w:sz w:val="24"/>
          <w:szCs w:val="24"/>
          <w:lang w:eastAsia="ru-RU"/>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bookmarkEnd w:id="0"/>
    <w:p w:rsidR="00BA3C84" w:rsidRPr="009A30A1" w:rsidRDefault="00BA3C84">
      <w:pPr>
        <w:rPr>
          <w:rFonts w:ascii="PT Astra Serif" w:hAnsi="PT Astra Serif"/>
          <w:sz w:val="24"/>
          <w:szCs w:val="24"/>
        </w:rPr>
      </w:pPr>
    </w:p>
    <w:sectPr w:rsidR="00BA3C84" w:rsidRPr="009A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CD"/>
    <w:rsid w:val="009A30A1"/>
    <w:rsid w:val="00A73BCD"/>
    <w:rsid w:val="00BA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CDFA9-3E31-488E-A807-895CCD80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5994</Words>
  <Characters>34171</Characters>
  <Application>Microsoft Office Word</Application>
  <DocSecurity>0</DocSecurity>
  <Lines>284</Lines>
  <Paragraphs>80</Paragraphs>
  <ScaleCrop>false</ScaleCrop>
  <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2019-09-13T13:27:00Z</dcterms:created>
  <dcterms:modified xsi:type="dcterms:W3CDTF">2019-09-13T13:27:00Z</dcterms:modified>
</cp:coreProperties>
</file>